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3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  <w:t>Formato europeo per il curriculum vitae</w:t>
            </w:r>
          </w:p>
          <w:p w:rsidR="00D02669" w:rsidRDefault="00D0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</w:pPr>
          </w:p>
          <w:p w:rsidR="00D02669" w:rsidRDefault="008F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26"/>
                <w:szCs w:val="2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tbl>
      <w:tblPr>
        <w:tblStyle w:val="a0"/>
        <w:tblW w:w="29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3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1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rPr>
          <w:trHeight w:val="345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Grasso Gianni</w:t>
            </w:r>
          </w:p>
        </w:tc>
      </w:tr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AD" w:rsidRDefault="00475F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ITA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2"/>
        <w:tblW w:w="29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3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CF5FB5" w:rsidRDefault="00CF5FB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CF5FB5" w:rsidRDefault="00CF5FB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 w:rsidTr="00810F21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.</w:t>
            </w:r>
            <w:r w:rsidR="00C34B91" w:rsidRPr="0020738D">
              <w:rPr>
                <w:rFonts w:ascii="Arial Narrow" w:eastAsia="Arial Narrow" w:hAnsi="Arial Narrow" w:cs="Arial Narrow"/>
                <w:color w:val="000000"/>
              </w:rPr>
              <w:t xml:space="preserve"> a. </w:t>
            </w:r>
            <w:r w:rsidR="005C6391">
              <w:rPr>
                <w:rFonts w:ascii="Arial Narrow" w:eastAsia="Arial Narrow" w:hAnsi="Arial Narrow" w:cs="Arial Narrow"/>
                <w:color w:val="000000"/>
              </w:rPr>
              <w:t>da 92/93 a 2000/</w:t>
            </w:r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>01</w:t>
            </w:r>
          </w:p>
          <w:p w:rsidR="00667657" w:rsidRPr="00D65A8F" w:rsidRDefault="00D65A8F" w:rsidP="00D65A8F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10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            • </w:t>
            </w:r>
            <w:r>
              <w:rPr>
                <w:rFonts w:ascii="Arial Narrow" w:eastAsia="Arial Narrow" w:hAnsi="Arial Narrow" w:cs="Arial Narrow"/>
                <w:color w:val="000000"/>
              </w:rPr>
              <w:t>a.2004-</w:t>
            </w:r>
            <w:r w:rsidRPr="00D65A8F">
              <w:rPr>
                <w:rFonts w:ascii="Arial Narrow" w:eastAsia="Arial Narrow" w:hAnsi="Arial Narrow" w:cs="Arial Narrow"/>
                <w:color w:val="000000"/>
              </w:rPr>
              <w:t>2005</w:t>
            </w:r>
          </w:p>
          <w:p w:rsidR="005C6391" w:rsidRDefault="005C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proofErr w:type="spellStart"/>
            <w:r w:rsidRPr="005C6391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.</w:t>
            </w:r>
            <w:r w:rsidRPr="005C6391">
              <w:rPr>
                <w:rFonts w:ascii="Arial Narrow" w:eastAsia="Arial Narrow" w:hAnsi="Arial Narrow" w:cs="Arial Narrow"/>
                <w:color w:val="000000"/>
              </w:rPr>
              <w:t>a</w:t>
            </w:r>
            <w:proofErr w:type="spellEnd"/>
            <w:r w:rsidRPr="005C639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0"/>
              </w:rPr>
              <w:t>da 2008/09 a 2022/23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2669" w:rsidTr="00810F21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 xml:space="preserve">Facoltà di Agraria </w:t>
            </w:r>
            <w:proofErr w:type="gramStart"/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>dell' Università</w:t>
            </w:r>
            <w:proofErr w:type="gramEnd"/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 xml:space="preserve"> di Potenza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46696F" w:rsidP="004669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</w:t>
            </w:r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 xml:space="preserve">ocente a contratto di corsi di insegnamento </w:t>
            </w:r>
            <w:proofErr w:type="spellStart"/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>nell' ambito</w:t>
            </w:r>
            <w:proofErr w:type="spellEnd"/>
            <w:r w:rsidR="005C6391" w:rsidRPr="005C6391">
              <w:rPr>
                <w:rFonts w:ascii="Arial Narrow" w:eastAsia="Arial Narrow" w:hAnsi="Arial Narrow" w:cs="Arial Narrow"/>
                <w:color w:val="000000"/>
              </w:rPr>
              <w:t xml:space="preserve"> disciplinare G08A (Tecnica delle Conserve Alimentari, Operazioni Unitarie delle Industrie Alimentari, Industrie Alimentari II, Industrie Agrarie).</w:t>
            </w:r>
          </w:p>
          <w:p w:rsidR="00D65A8F" w:rsidRDefault="0046696F" w:rsidP="004669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</w:t>
            </w:r>
            <w:r w:rsidR="00D65A8F" w:rsidRPr="00D65A8F">
              <w:rPr>
                <w:rFonts w:ascii="Arial Narrow" w:eastAsia="Arial Narrow" w:hAnsi="Arial Narrow" w:cs="Arial Narrow"/>
                <w:color w:val="000000"/>
              </w:rPr>
              <w:t>ocente del corso di "Tecnologie di Miglioramento dei materiali legnosi" nel Master in "Gestione della Filiera Foreste-Legno-Energia" PON AF 2000-2006</w:t>
            </w:r>
          </w:p>
          <w:p w:rsidR="00D65A8F" w:rsidRDefault="00D65A8F" w:rsidP="004669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Docente del </w:t>
            </w:r>
            <w:r w:rsidRPr="00D65A8F">
              <w:rPr>
                <w:rFonts w:ascii="Arial Narrow" w:eastAsia="Arial Narrow" w:hAnsi="Arial Narrow" w:cs="Arial Narrow"/>
                <w:color w:val="000000"/>
              </w:rPr>
              <w:t xml:space="preserve">corso di “Sistemi Gestionali” </w:t>
            </w:r>
            <w:proofErr w:type="spellStart"/>
            <w:r w:rsidRPr="00D65A8F">
              <w:rPr>
                <w:rFonts w:ascii="Arial Narrow" w:eastAsia="Arial Narrow" w:hAnsi="Arial Narrow" w:cs="Arial Narrow"/>
                <w:color w:val="000000"/>
              </w:rPr>
              <w:t>nell’ ambito</w:t>
            </w:r>
            <w:proofErr w:type="spellEnd"/>
            <w:r w:rsidRPr="00D65A8F">
              <w:rPr>
                <w:rFonts w:ascii="Arial Narrow" w:eastAsia="Arial Narrow" w:hAnsi="Arial Narrow" w:cs="Arial Narrow"/>
                <w:color w:val="000000"/>
              </w:rPr>
              <w:t xml:space="preserve"> del Master “Business Administration”</w:t>
            </w:r>
          </w:p>
        </w:tc>
      </w:tr>
    </w:tbl>
    <w:p w:rsidR="005C6391" w:rsidRDefault="005C6391" w:rsidP="005C639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5C6391" w:rsidTr="00810F21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91" w:rsidRDefault="005C6391" w:rsidP="00207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proofErr w:type="spellStart"/>
            <w:r w:rsidR="0020738D" w:rsidRPr="0020738D">
              <w:rPr>
                <w:rFonts w:ascii="Arial Narrow" w:eastAsia="Arial Narrow" w:hAnsi="Arial Narrow" w:cs="Arial Narrow"/>
                <w:color w:val="000000"/>
              </w:rPr>
              <w:t>a.a</w:t>
            </w:r>
            <w:proofErr w:type="spellEnd"/>
            <w:r w:rsidR="0020738D" w:rsidRPr="0020738D">
              <w:rPr>
                <w:rFonts w:ascii="Arial Narrow" w:eastAsia="Arial Narrow" w:hAnsi="Arial Narrow" w:cs="Arial Narrow"/>
                <w:color w:val="000000"/>
              </w:rPr>
              <w:t xml:space="preserve">. 2008/09, </w:t>
            </w:r>
            <w:r w:rsidR="0020738D">
              <w:rPr>
                <w:rFonts w:ascii="Arial Narrow" w:eastAsia="Arial Narrow" w:hAnsi="Arial Narrow" w:cs="Arial Narrow"/>
                <w:color w:val="000000"/>
              </w:rPr>
              <w:t>20</w:t>
            </w:r>
            <w:r w:rsidR="0020738D" w:rsidRPr="0020738D">
              <w:rPr>
                <w:rFonts w:ascii="Arial Narrow" w:eastAsia="Arial Narrow" w:hAnsi="Arial Narrow" w:cs="Arial Narrow"/>
                <w:color w:val="000000"/>
              </w:rPr>
              <w:t>09/10, 2016/17 e 2017/18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91" w:rsidRDefault="005C6391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91" w:rsidRDefault="005C6391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C6391" w:rsidTr="00810F21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91" w:rsidRDefault="005C6391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="0020738D" w:rsidRPr="0020738D">
              <w:rPr>
                <w:rFonts w:ascii="Arial Narrow" w:eastAsia="Arial Narrow" w:hAnsi="Arial Narrow" w:cs="Arial Narrow"/>
                <w:color w:val="000000"/>
              </w:rPr>
              <w:t>Facoltà di Architettura della Seconda Università di Napoli, Cdl in “Disegno Industriale”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91" w:rsidRDefault="005C6391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91" w:rsidRDefault="0046696F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</w:t>
            </w:r>
            <w:r w:rsidR="0020738D" w:rsidRPr="0020738D">
              <w:rPr>
                <w:rFonts w:ascii="Arial Narrow" w:eastAsia="Arial Narrow" w:hAnsi="Arial Narrow" w:cs="Arial Narrow"/>
                <w:color w:val="000000"/>
              </w:rPr>
              <w:t>ocente a contratto di corsi</w:t>
            </w:r>
            <w:r w:rsidR="0020738D">
              <w:rPr>
                <w:rFonts w:ascii="Arial Narrow" w:eastAsia="Arial Narrow" w:hAnsi="Arial Narrow" w:cs="Arial Narrow"/>
                <w:color w:val="000000"/>
              </w:rPr>
              <w:t xml:space="preserve"> di </w:t>
            </w:r>
            <w:r w:rsidR="0020738D" w:rsidRPr="0020738D">
              <w:rPr>
                <w:rFonts w:ascii="Arial Narrow" w:eastAsia="Arial Narrow" w:hAnsi="Arial Narrow" w:cs="Arial Narrow"/>
                <w:color w:val="000000"/>
              </w:rPr>
              <w:t>“Tecnologie e Qualità della Materia”</w:t>
            </w:r>
            <w:r w:rsidR="0020738D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:rsidR="0046696F" w:rsidRDefault="0046696F" w:rsidP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3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•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aa 1976-2011)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Pr="00CF5FB5">
              <w:rPr>
                <w:rFonts w:ascii="Arial Narrow" w:eastAsia="Arial Narrow" w:hAnsi="Arial Narrow" w:cs="Arial Narrow"/>
                <w:color w:val="000000"/>
              </w:rPr>
              <w:t xml:space="preserve">Stazione Sperimentale per </w:t>
            </w:r>
            <w:proofErr w:type="gramStart"/>
            <w:r w:rsidRPr="00CF5FB5">
              <w:rPr>
                <w:rFonts w:ascii="Arial Narrow" w:eastAsia="Arial Narrow" w:hAnsi="Arial Narrow" w:cs="Arial Narrow"/>
                <w:color w:val="000000"/>
              </w:rPr>
              <w:t>l' Industria</w:t>
            </w:r>
            <w:proofErr w:type="gramEnd"/>
            <w:r w:rsidRPr="00CF5FB5">
              <w:rPr>
                <w:rFonts w:ascii="Arial Narrow" w:eastAsia="Arial Narrow" w:hAnsi="Arial Narrow" w:cs="Arial Narrow"/>
                <w:color w:val="000000"/>
              </w:rPr>
              <w:t xml:space="preserve"> delle Pelli e delle Materie Concianti in Napoli.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- Ministero </w:t>
            </w:r>
            <w:r w:rsidRPr="005905B5">
              <w:rPr>
                <w:rFonts w:ascii="Arial Narrow" w:eastAsia="Arial Narrow" w:hAnsi="Arial Narrow" w:cs="Arial Narrow"/>
                <w:color w:val="000000"/>
              </w:rPr>
              <w:t>dello Sviluppo Economico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(ora Economia</w:t>
            </w:r>
            <w:r w:rsidRPr="005905B5"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4669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Ricercatore, poi ricercatore di 2° fascia, fino a Dirigente di Ricerca, con impiego in laboratori chimici tecnologici e di ricerca e sperimentazione.</w:t>
            </w: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4669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Gestione a vari livelli di laboratori, con responsabilità di firma di perizie e certificati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ufficiali,nonché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 di piani di ricerca Internazionali. Membro di Commissioni di Analisi Chimiche</w:t>
            </w:r>
          </w:p>
        </w:tc>
      </w:tr>
    </w:tbl>
    <w:p w:rsidR="00842312" w:rsidRDefault="00842312" w:rsidP="0084231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842312" w:rsidTr="00530CE5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12" w:rsidRPr="00842312" w:rsidRDefault="00842312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•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. 2004/2005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12" w:rsidRDefault="00842312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12" w:rsidRDefault="00842312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42312" w:rsidTr="00530CE5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12" w:rsidRDefault="00842312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Facoltà di Agraria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dell' Università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di Teramo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12" w:rsidRDefault="00842312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12" w:rsidRDefault="00842312" w:rsidP="00530C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Docente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del corso di</w:t>
            </w: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"Tecnologie dei Materiali e Prodotti Agroindustriali"</w:t>
            </w:r>
          </w:p>
        </w:tc>
      </w:tr>
    </w:tbl>
    <w:p w:rsidR="0046696F" w:rsidRDefault="0046696F" w:rsidP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da1998 a</w:t>
            </w:r>
            <w:r w:rsidRPr="00810F21">
              <w:rPr>
                <w:rFonts w:ascii="Arial Narrow" w:eastAsia="Arial Narrow" w:hAnsi="Arial Narrow" w:cs="Arial Narrow"/>
                <w:color w:val="000000"/>
              </w:rPr>
              <w:t xml:space="preserve"> 2005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Pr="00810F21">
              <w:rPr>
                <w:rFonts w:ascii="Arial Narrow" w:eastAsia="Arial Narrow" w:hAnsi="Arial Narrow" w:cs="Arial Narrow"/>
                <w:color w:val="000000"/>
              </w:rPr>
              <w:t>Presidenza del Consiglio - Scuola Superiore della Pubblica Amministrazione per la prevenzione, stima e valutazione del rischio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</w:t>
            </w:r>
            <w:r w:rsidRPr="0020738D">
              <w:rPr>
                <w:rFonts w:ascii="Arial Narrow" w:eastAsia="Arial Narrow" w:hAnsi="Arial Narrow" w:cs="Arial Narrow"/>
                <w:color w:val="000000"/>
              </w:rPr>
              <w:t xml:space="preserve">ocente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a </w:t>
            </w:r>
            <w:r w:rsidRPr="00810F21">
              <w:rPr>
                <w:rFonts w:ascii="Arial Narrow" w:eastAsia="Arial Narrow" w:hAnsi="Arial Narrow" w:cs="Arial Narrow"/>
                <w:color w:val="000000"/>
              </w:rPr>
              <w:t>corsi-seminari e master sulla "sicurezza" (</w:t>
            </w:r>
            <w:proofErr w:type="spellStart"/>
            <w:r w:rsidRPr="00810F21">
              <w:rPr>
                <w:rFonts w:ascii="Arial Narrow" w:eastAsia="Arial Narrow" w:hAnsi="Arial Narrow" w:cs="Arial Narrow"/>
                <w:color w:val="000000"/>
              </w:rPr>
              <w:t>D.Lgs.</w:t>
            </w:r>
            <w:proofErr w:type="spellEnd"/>
            <w:r w:rsidRPr="00810F21">
              <w:rPr>
                <w:rFonts w:ascii="Arial Narrow" w:eastAsia="Arial Narrow" w:hAnsi="Arial Narrow" w:cs="Arial Narrow"/>
                <w:color w:val="000000"/>
              </w:rPr>
              <w:t xml:space="preserve"> 626/94)</w:t>
            </w:r>
          </w:p>
        </w:tc>
      </w:tr>
    </w:tbl>
    <w:p w:rsidR="0046696F" w:rsidRDefault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Pr="00842312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•.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.</w:t>
            </w:r>
            <w:r w:rsidRPr="00842312">
              <w:rPr>
                <w:rFonts w:ascii="Arial Narrow" w:eastAsia="Arial Narrow" w:hAnsi="Arial Narrow" w:cs="Arial Narrow"/>
                <w:color w:val="000000"/>
              </w:rPr>
              <w:t>a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>.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94/95 e 95/96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Facoltà di Agraria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dell' Università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di Napoli Federico II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</w:t>
            </w:r>
            <w:r w:rsidRPr="00842312">
              <w:rPr>
                <w:rFonts w:ascii="Arial Narrow" w:eastAsia="Arial Narrow" w:hAnsi="Arial Narrow" w:cs="Arial Narrow"/>
                <w:color w:val="000000"/>
              </w:rPr>
              <w:t>ocente a contratto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di un</w:t>
            </w: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Corso integrativo di “Chimica degli Alimenti - Struttura e proprietà dei prodotti alimentari”.</w:t>
            </w:r>
          </w:p>
        </w:tc>
      </w:tr>
    </w:tbl>
    <w:p w:rsidR="0046696F" w:rsidRDefault="0046696F" w:rsidP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 xml:space="preserve">• </w:t>
            </w:r>
            <w:proofErr w:type="spellStart"/>
            <w:r w:rsidRPr="00810F21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.</w:t>
            </w:r>
            <w:r w:rsidRPr="00810F21">
              <w:rPr>
                <w:rFonts w:ascii="Arial Narrow" w:eastAsia="Arial Narrow" w:hAnsi="Arial Narrow" w:cs="Arial Narrow"/>
                <w:color w:val="000000"/>
              </w:rPr>
              <w:t>a</w:t>
            </w:r>
            <w:proofErr w:type="spellEnd"/>
            <w:r w:rsidRPr="00810F21">
              <w:rPr>
                <w:rFonts w:ascii="Arial Narrow" w:eastAsia="Arial Narrow" w:hAnsi="Arial Narrow" w:cs="Arial Narrow"/>
                <w:color w:val="000000"/>
              </w:rPr>
              <w:t>.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da 91/92 a 94/95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Pr="00810F21">
              <w:rPr>
                <w:rFonts w:ascii="Arial Narrow" w:eastAsia="Arial Narrow" w:hAnsi="Arial Narrow" w:cs="Arial Narrow"/>
                <w:color w:val="000000"/>
              </w:rPr>
              <w:t xml:space="preserve">Scuola di Specializzazione in Scienza </w:t>
            </w:r>
            <w:proofErr w:type="gramStart"/>
            <w:r w:rsidRPr="00810F21">
              <w:rPr>
                <w:rFonts w:ascii="Arial Narrow" w:eastAsia="Arial Narrow" w:hAnsi="Arial Narrow" w:cs="Arial Narrow"/>
                <w:color w:val="000000"/>
              </w:rPr>
              <w:t>dell' Alimentazione</w:t>
            </w:r>
            <w:proofErr w:type="gramEnd"/>
            <w:r w:rsidRPr="00810F21">
              <w:rPr>
                <w:rFonts w:ascii="Arial Narrow" w:eastAsia="Arial Narrow" w:hAnsi="Arial Narrow" w:cs="Arial Narrow"/>
                <w:color w:val="000000"/>
              </w:rPr>
              <w:t xml:space="preserve"> della Facoltà di Medicina dell' Università Federico II di Napoli.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3C1EA7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</w:t>
            </w:r>
            <w:r w:rsidR="0046696F" w:rsidRPr="0020738D">
              <w:rPr>
                <w:rFonts w:ascii="Arial Narrow" w:eastAsia="Arial Narrow" w:hAnsi="Arial Narrow" w:cs="Arial Narrow"/>
                <w:color w:val="000000"/>
              </w:rPr>
              <w:t xml:space="preserve">ocente </w:t>
            </w:r>
            <w:r w:rsidR="0046696F">
              <w:rPr>
                <w:rFonts w:ascii="Arial Narrow" w:eastAsia="Arial Narrow" w:hAnsi="Arial Narrow" w:cs="Arial Narrow"/>
                <w:color w:val="000000"/>
              </w:rPr>
              <w:t>del c</w:t>
            </w:r>
            <w:r w:rsidR="0046696F" w:rsidRPr="00DA79A5">
              <w:rPr>
                <w:rFonts w:ascii="Arial Narrow" w:eastAsia="Arial Narrow" w:hAnsi="Arial Narrow" w:cs="Arial Narrow"/>
                <w:color w:val="000000"/>
              </w:rPr>
              <w:t>orso di Microbiologia e Chimica delle Fermentazioni nelle Industrie Alimentari</w:t>
            </w:r>
            <w:r w:rsidR="0046696F">
              <w:rPr>
                <w:rFonts w:ascii="Arial Narrow" w:eastAsia="Arial Narrow" w:hAnsi="Arial Narrow" w:cs="Arial Narrow"/>
                <w:color w:val="000000"/>
              </w:rPr>
              <w:t xml:space="preserve"> e di </w:t>
            </w:r>
            <w:r w:rsidR="0046696F" w:rsidRPr="00DA79A5">
              <w:rPr>
                <w:rFonts w:ascii="Arial Narrow" w:eastAsia="Arial Narrow" w:hAnsi="Arial Narrow" w:cs="Arial Narrow"/>
                <w:color w:val="000000"/>
              </w:rPr>
              <w:t xml:space="preserve">Analisi Chimica degli Alimenti </w:t>
            </w:r>
          </w:p>
        </w:tc>
      </w:tr>
    </w:tbl>
    <w:p w:rsidR="0046696F" w:rsidRDefault="0046696F" w:rsidP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proofErr w:type="spellStart"/>
            <w:r w:rsidRPr="00810F21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.</w:t>
            </w:r>
            <w:r w:rsidRPr="00810F21">
              <w:rPr>
                <w:rFonts w:ascii="Arial Narrow" w:eastAsia="Arial Narrow" w:hAnsi="Arial Narrow" w:cs="Arial Narrow"/>
                <w:color w:val="000000"/>
              </w:rPr>
              <w:t>a</w:t>
            </w:r>
            <w:proofErr w:type="spellEnd"/>
            <w:r w:rsidRPr="00810F21">
              <w:rPr>
                <w:rFonts w:ascii="Arial Narrow" w:eastAsia="Arial Narrow" w:hAnsi="Arial Narrow" w:cs="Arial Narrow"/>
                <w:color w:val="000000"/>
              </w:rPr>
              <w:t>.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A79A5">
              <w:rPr>
                <w:rFonts w:ascii="Arial Narrow" w:eastAsia="Arial Narrow" w:hAnsi="Arial Narrow" w:cs="Arial Narrow"/>
                <w:color w:val="000000"/>
              </w:rPr>
              <w:t>1987-92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Pr="00DA79A5">
              <w:rPr>
                <w:rFonts w:ascii="Arial Narrow" w:eastAsia="Arial Narrow" w:hAnsi="Arial Narrow" w:cs="Arial Narrow"/>
                <w:color w:val="000000"/>
              </w:rPr>
              <w:t xml:space="preserve">Istituto Universitario Navale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di Napoli, poi </w:t>
            </w:r>
            <w:r w:rsidRPr="00DA79A5">
              <w:rPr>
                <w:rFonts w:ascii="Arial Narrow" w:eastAsia="Arial Narrow" w:hAnsi="Arial Narrow" w:cs="Arial Narrow"/>
                <w:color w:val="000000"/>
              </w:rPr>
              <w:t>Facoltà di Economia dei Trasporti e del Commercio Internazionale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DA79A5">
              <w:rPr>
                <w:rFonts w:ascii="Arial Narrow" w:eastAsia="Arial Narrow" w:hAnsi="Arial Narrow" w:cs="Arial Narrow"/>
                <w:color w:val="000000"/>
              </w:rPr>
              <w:t xml:space="preserve">"cultore della materia" in Merceologia, </w:t>
            </w:r>
            <w:r>
              <w:rPr>
                <w:rFonts w:ascii="Arial Narrow" w:eastAsia="Arial Narrow" w:hAnsi="Arial Narrow" w:cs="Arial Narrow"/>
                <w:color w:val="000000"/>
              </w:rPr>
              <w:t>con organizzazione di</w:t>
            </w:r>
            <w:r w:rsidRPr="00DA79A5">
              <w:rPr>
                <w:rFonts w:ascii="Arial Narrow" w:eastAsia="Arial Narrow" w:hAnsi="Arial Narrow" w:cs="Arial Narrow"/>
                <w:color w:val="000000"/>
              </w:rPr>
              <w:t xml:space="preserve"> semi</w:t>
            </w:r>
            <w:r>
              <w:rPr>
                <w:rFonts w:ascii="Arial Narrow" w:eastAsia="Arial Narrow" w:hAnsi="Arial Narrow" w:cs="Arial Narrow"/>
                <w:color w:val="000000"/>
              </w:rPr>
              <w:t>nari, curand</w:t>
            </w:r>
            <w:r w:rsidRPr="00DA79A5">
              <w:rPr>
                <w:rFonts w:ascii="Arial Narrow" w:eastAsia="Arial Narrow" w:hAnsi="Arial Narrow" w:cs="Arial Narrow"/>
                <w:color w:val="000000"/>
              </w:rPr>
              <w:t xml:space="preserve">o la redazione di testi per gli studenti </w:t>
            </w:r>
            <w:r>
              <w:rPr>
                <w:rFonts w:ascii="Arial Narrow" w:eastAsia="Arial Narrow" w:hAnsi="Arial Narrow" w:cs="Arial Narrow"/>
                <w:color w:val="000000"/>
              </w:rPr>
              <w:t>(Opera Universitaria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 xml:space="preserve"> IUN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r w:rsidRPr="00DA79A5">
              <w:rPr>
                <w:rFonts w:ascii="Arial Narrow" w:eastAsia="Arial Narrow" w:hAnsi="Arial Narrow" w:cs="Arial Narrow"/>
                <w:color w:val="000000"/>
              </w:rPr>
              <w:t>"Elementi di Merceologia Doganale"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) 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>ed affiancando</w:t>
            </w:r>
            <w:r w:rsidRPr="00DA79A5">
              <w:rPr>
                <w:rFonts w:ascii="Arial Narrow" w:eastAsia="Arial Narrow" w:hAnsi="Arial Narrow" w:cs="Arial Narrow"/>
                <w:color w:val="000000"/>
              </w:rPr>
              <w:t xml:space="preserve"> tesisti di </w:t>
            </w:r>
            <w:proofErr w:type="gramStart"/>
            <w:r w:rsidRPr="00DA79A5">
              <w:rPr>
                <w:rFonts w:ascii="Arial Narrow" w:eastAsia="Arial Narrow" w:hAnsi="Arial Narrow" w:cs="Arial Narrow"/>
                <w:color w:val="000000"/>
              </w:rPr>
              <w:t xml:space="preserve">laurea.  </w:t>
            </w:r>
            <w:proofErr w:type="gramEnd"/>
          </w:p>
        </w:tc>
      </w:tr>
    </w:tbl>
    <w:p w:rsidR="0046696F" w:rsidRDefault="0046696F" w:rsidP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proofErr w:type="spellStart"/>
            <w:r w:rsidRPr="005905B5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.</w:t>
            </w:r>
            <w:r w:rsidRPr="005905B5">
              <w:rPr>
                <w:rFonts w:ascii="Arial Narrow" w:eastAsia="Arial Narrow" w:hAnsi="Arial Narrow" w:cs="Arial Narrow"/>
                <w:color w:val="000000"/>
              </w:rPr>
              <w:t>a</w:t>
            </w:r>
            <w:proofErr w:type="spellEnd"/>
            <w:r w:rsidRPr="005905B5">
              <w:rPr>
                <w:rFonts w:ascii="Arial Narrow" w:eastAsia="Arial Narrow" w:hAnsi="Arial Narrow" w:cs="Arial Narrow"/>
                <w:color w:val="000000"/>
              </w:rPr>
              <w:t>. 84/85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 2005/06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 w:rsidRPr="00667657">
              <w:rPr>
                <w:rFonts w:ascii="Arial Narrow" w:eastAsia="Arial Narrow" w:hAnsi="Arial Narrow" w:cs="Arial Narrow"/>
                <w:color w:val="000000"/>
              </w:rPr>
              <w:t xml:space="preserve">• Facoltà di Ingegneria Chimico-Alimentare </w:t>
            </w:r>
            <w:proofErr w:type="gramStart"/>
            <w:r w:rsidRPr="00667657">
              <w:rPr>
                <w:rFonts w:ascii="Arial Narrow" w:eastAsia="Arial Narrow" w:hAnsi="Arial Narrow" w:cs="Arial Narrow"/>
                <w:color w:val="000000"/>
              </w:rPr>
              <w:t>dell' Università</w:t>
            </w:r>
            <w:proofErr w:type="gramEnd"/>
            <w:r w:rsidRPr="00667657">
              <w:rPr>
                <w:rFonts w:ascii="Arial Narrow" w:eastAsia="Arial Narrow" w:hAnsi="Arial Narrow" w:cs="Arial Narrow"/>
                <w:color w:val="000000"/>
              </w:rPr>
              <w:t xml:space="preserve"> di Salerno.</w:t>
            </w:r>
          </w:p>
          <w:p w:rsidR="0046696F" w:rsidRPr="00667657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 w:rsidRPr="00667657">
              <w:rPr>
                <w:rFonts w:ascii="Arial Narrow" w:eastAsia="Arial Narrow" w:hAnsi="Arial Narrow" w:cs="Arial Narrow"/>
                <w:color w:val="000000"/>
              </w:rPr>
              <w:t>Dottorati in Ingegneria Chimica e dei Materiali (Un. Calabria, L’ Aquila), Chimica Industriale (Un. Bologna) e Chimica (un. Basilicata).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3C1EA7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</w:t>
            </w:r>
            <w:r w:rsidR="0046696F" w:rsidRPr="0020738D">
              <w:rPr>
                <w:rFonts w:ascii="Arial Narrow" w:eastAsia="Arial Narrow" w:hAnsi="Arial Narrow" w:cs="Arial Narrow"/>
                <w:color w:val="000000"/>
              </w:rPr>
              <w:t xml:space="preserve">ocente </w:t>
            </w:r>
            <w:r w:rsidR="0046696F">
              <w:rPr>
                <w:rFonts w:ascii="Arial Narrow" w:eastAsia="Arial Narrow" w:hAnsi="Arial Narrow" w:cs="Arial Narrow"/>
                <w:color w:val="000000"/>
              </w:rPr>
              <w:t xml:space="preserve">di seminari e corsi di dottorato inerenti il campo </w:t>
            </w:r>
            <w:proofErr w:type="gramStart"/>
            <w:r w:rsidR="0046696F">
              <w:rPr>
                <w:rFonts w:ascii="Arial Narrow" w:eastAsia="Arial Narrow" w:hAnsi="Arial Narrow" w:cs="Arial Narrow"/>
                <w:color w:val="000000"/>
              </w:rPr>
              <w:t>specifico  delle</w:t>
            </w:r>
            <w:proofErr w:type="gramEnd"/>
            <w:r w:rsidR="0046696F">
              <w:rPr>
                <w:rFonts w:ascii="Arial Narrow" w:eastAsia="Arial Narrow" w:hAnsi="Arial Narrow" w:cs="Arial Narrow"/>
                <w:color w:val="000000"/>
              </w:rPr>
              <w:t xml:space="preserve"> Tecnologie dei materiali e Prodotti di origine organica – concetto di “Strutture Unitarie”.</w:t>
            </w:r>
          </w:p>
        </w:tc>
      </w:tr>
    </w:tbl>
    <w:p w:rsidR="0046696F" w:rsidRDefault="0046696F" w:rsidP="0046696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3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•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aa </w:t>
            </w:r>
            <w:r w:rsidRPr="00CF5FB5">
              <w:rPr>
                <w:rFonts w:ascii="Arial Narrow" w:eastAsia="Arial Narrow" w:hAnsi="Arial Narrow" w:cs="Arial Narrow"/>
                <w:color w:val="000000"/>
              </w:rPr>
              <w:t>1971</w:t>
            </w:r>
            <w:r>
              <w:rPr>
                <w:rFonts w:ascii="Arial Narrow" w:eastAsia="Arial Narrow" w:hAnsi="Arial Narrow" w:cs="Arial Narrow"/>
                <w:color w:val="000000"/>
              </w:rPr>
              <w:t>-76)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 w:rsidRPr="00CF5FB5">
              <w:rPr>
                <w:rFonts w:ascii="Arial Narrow" w:eastAsia="Arial Narrow" w:hAnsi="Arial Narrow" w:cs="Arial Narrow"/>
                <w:color w:val="000000"/>
              </w:rPr>
              <w:t>Centro Studi e Ricerche di Medicina Aerospaziale di Roma.</w:t>
            </w:r>
          </w:p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Direzione Laboratori Aeronautica Militare - Roma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3C1EA7" w:rsidP="003C1E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U</w:t>
            </w:r>
            <w:r w:rsidR="0046696F">
              <w:rPr>
                <w:rFonts w:ascii="Arial Narrow" w:eastAsia="Arial Narrow" w:hAnsi="Arial Narrow" w:cs="Arial Narrow"/>
                <w:color w:val="000000"/>
              </w:rPr>
              <w:t>fficiale</w:t>
            </w:r>
            <w:r w:rsidR="0046696F" w:rsidRPr="00CF5FB5">
              <w:rPr>
                <w:rFonts w:ascii="Arial Narrow" w:eastAsia="Arial Narrow" w:hAnsi="Arial Narrow" w:cs="Arial Narrow"/>
                <w:color w:val="000000"/>
              </w:rPr>
              <w:t xml:space="preserve"> del Genio Aeronautico Ruolo Chimici</w:t>
            </w:r>
            <w:r w:rsidR="0046696F">
              <w:rPr>
                <w:rFonts w:ascii="Arial Narrow" w:eastAsia="Arial Narrow" w:hAnsi="Arial Narrow" w:cs="Arial Narrow"/>
                <w:color w:val="000000"/>
              </w:rPr>
              <w:t>, con impiego in laboratori chimici di sperimentazione e tecnologici operativi dislocati in varie sedi.</w:t>
            </w: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Addetto ai servizi di laboratorio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>, responsabile di laboratori</w:t>
            </w:r>
          </w:p>
        </w:tc>
      </w:tr>
    </w:tbl>
    <w:p w:rsidR="0046696F" w:rsidRDefault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3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•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1970-71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6696F" w:rsidTr="0023250D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proofErr w:type="gramStart"/>
            <w:r w:rsidRPr="005905B5">
              <w:rPr>
                <w:rFonts w:ascii="Arial Narrow" w:eastAsia="Arial Narrow" w:hAnsi="Arial Narrow" w:cs="Arial Narrow"/>
                <w:color w:val="000000"/>
              </w:rPr>
              <w:t>l' I.T.I.S.</w:t>
            </w:r>
            <w:proofErr w:type="gramEnd"/>
            <w:r w:rsidRPr="005905B5">
              <w:rPr>
                <w:rFonts w:ascii="Arial Narrow" w:eastAsia="Arial Narrow" w:hAnsi="Arial Narrow" w:cs="Arial Narrow"/>
                <w:color w:val="000000"/>
              </w:rPr>
              <w:t xml:space="preserve"> "L.  Palmieri" di Benevento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6F" w:rsidRDefault="0046696F" w:rsidP="002325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 w:rsidRPr="005905B5">
              <w:rPr>
                <w:rFonts w:ascii="Arial Narrow" w:eastAsia="Arial Narrow" w:hAnsi="Arial Narrow" w:cs="Arial Narrow"/>
                <w:color w:val="000000"/>
              </w:rPr>
              <w:t>insegnante</w:t>
            </w:r>
            <w:proofErr w:type="gramEnd"/>
            <w:r w:rsidRPr="005905B5">
              <w:rPr>
                <w:rFonts w:ascii="Arial Narrow" w:eastAsia="Arial Narrow" w:hAnsi="Arial Narrow" w:cs="Arial Narrow"/>
                <w:color w:val="000000"/>
              </w:rPr>
              <w:t xml:space="preserve"> incaricato a tempo indeterminato di chimica e fisica</w:t>
            </w:r>
          </w:p>
        </w:tc>
      </w:tr>
    </w:tbl>
    <w:p w:rsidR="00DA79A5" w:rsidRDefault="00DA79A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46696F" w:rsidRDefault="0046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5"/>
        <w:tblW w:w="29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3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6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 w:rsidTr="00D65A8F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 w:rsidP="00BA45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• </w:t>
            </w:r>
            <w:r w:rsidR="00BA4576">
              <w:rPr>
                <w:rFonts w:ascii="Arial Narrow" w:eastAsia="Arial Narrow" w:hAnsi="Arial Narrow" w:cs="Arial Narrow"/>
                <w:color w:val="000000"/>
              </w:rPr>
              <w:t>Anno 1969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2669" w:rsidTr="00D65A8F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• </w:t>
            </w:r>
            <w:r w:rsidR="00C34B91" w:rsidRPr="00BA4576">
              <w:rPr>
                <w:rFonts w:ascii="Arial Narrow" w:eastAsia="Arial Narrow" w:hAnsi="Arial Narrow" w:cs="Arial Narrow"/>
                <w:color w:val="000000"/>
              </w:rPr>
              <w:t>Università di Napoli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3C1EA7" w:rsidP="00C34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</w:t>
            </w:r>
            <w:r w:rsidR="00BA4576">
              <w:rPr>
                <w:rFonts w:ascii="Arial Narrow" w:eastAsia="Arial Narrow" w:hAnsi="Arial Narrow" w:cs="Arial Narrow"/>
                <w:color w:val="000000"/>
              </w:rPr>
              <w:t>aurea</w:t>
            </w:r>
            <w:r w:rsidR="00BA4576" w:rsidRPr="00BA4576">
              <w:rPr>
                <w:rFonts w:ascii="Arial Narrow" w:eastAsia="Arial Narrow" w:hAnsi="Arial Narrow" w:cs="Arial Narrow"/>
                <w:color w:val="000000"/>
              </w:rPr>
              <w:t xml:space="preserve"> in Chimica presso con 103/110</w:t>
            </w:r>
          </w:p>
        </w:tc>
      </w:tr>
      <w:tr w:rsidR="00D02669" w:rsidTr="00D65A8F">
        <w:tc>
          <w:tcPr>
            <w:tcW w:w="2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561A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Chimica Organica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>-Biologica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e Chimica Fisica</w:t>
            </w:r>
          </w:p>
        </w:tc>
      </w:tr>
    </w:tbl>
    <w:p w:rsidR="00D02669" w:rsidRDefault="008F194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br w:type="page"/>
      </w:r>
    </w:p>
    <w:tbl>
      <w:tblPr>
        <w:tblStyle w:val="a7"/>
        <w:tblW w:w="29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3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D02669" w:rsidRDefault="008F194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tbl>
      <w:tblPr>
        <w:tblStyle w:val="a8"/>
        <w:tblW w:w="5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2343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Prima lingua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561A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ITA</w:t>
            </w:r>
          </w:p>
        </w:tc>
      </w:tr>
    </w:tbl>
    <w:p w:rsidR="00D02669" w:rsidRDefault="00D0266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9"/>
        <w:tblW w:w="6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2977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Altre lingue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561A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Inglese/Francese</w:t>
            </w:r>
          </w:p>
        </w:tc>
      </w:tr>
    </w:tbl>
    <w:p w:rsidR="00D02669" w:rsidRDefault="00D02669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a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561A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Inglese</w:t>
            </w:r>
          </w:p>
        </w:tc>
      </w:tr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 w:rsidP="00561A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eccellente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</w:p>
        </w:tc>
      </w:tr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 w:rsidP="00561A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buono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</w:p>
        </w:tc>
      </w:tr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561A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elementare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b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Capacità e competenze relazionali</w:t>
            </w:r>
          </w:p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561A97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Maturate in ambienti dove le relazioni gerarchiche verticali e orizzontali sono fondamentali:</w:t>
            </w:r>
          </w:p>
          <w:p w:rsidR="00561A97" w:rsidRDefault="00561A97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Esperienze militari di attività di Laboratorio ed operative in laboratori mobili operativi (Aeronautica Militare</w:t>
            </w:r>
            <w:r w:rsidR="00CF5FB5">
              <w:rPr>
                <w:rFonts w:ascii="Arial Narrow" w:eastAsia="Arial Narrow" w:hAnsi="Arial Narrow" w:cs="Arial Narrow"/>
                <w:color w:val="000000"/>
              </w:rPr>
              <w:t>, Corpo del Genio – Ruolo Chimici</w:t>
            </w:r>
            <w:r>
              <w:rPr>
                <w:rFonts w:ascii="Arial Narrow" w:eastAsia="Arial Narrow" w:hAnsi="Arial Narrow" w:cs="Arial Narrow"/>
                <w:color w:val="000000"/>
              </w:rPr>
              <w:t>).</w:t>
            </w:r>
          </w:p>
          <w:p w:rsidR="00561A97" w:rsidRDefault="00561A97" w:rsidP="003C1E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Esperienze di conduzione di laboratori ed addestramento personale tecnico e laureato (borsisti) nella Stazione Sperimentale. Esperienze relazionali con uffici centrali 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 xml:space="preserve">del Ministero di appartenenza </w:t>
            </w:r>
            <w:r>
              <w:rPr>
                <w:rFonts w:ascii="Arial Narrow" w:eastAsia="Arial Narrow" w:hAnsi="Arial Narrow" w:cs="Arial Narrow"/>
                <w:color w:val="000000"/>
              </w:rPr>
              <w:t>(Ministero Sviluppo Economico, ora Eco</w:t>
            </w:r>
            <w:r w:rsidR="001002BB">
              <w:rPr>
                <w:rFonts w:ascii="Arial Narrow" w:eastAsia="Arial Narrow" w:hAnsi="Arial Narrow" w:cs="Arial Narrow"/>
                <w:color w:val="000000"/>
              </w:rPr>
              <w:t>nomia)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c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BB" w:rsidRDefault="00100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Maturate in ambienti tipici della Ricerca Applicata, con la conduzione di progetti di Ricerca</w:t>
            </w:r>
            <w:r w:rsidR="00C34B9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="00C34B91">
              <w:rPr>
                <w:rFonts w:ascii="Arial Narrow" w:eastAsia="Arial Narrow" w:hAnsi="Arial Narrow" w:cs="Arial Narrow"/>
                <w:color w:val="000000"/>
              </w:rPr>
              <w:t>nell’ ambito</w:t>
            </w:r>
            <w:proofErr w:type="spellEnd"/>
            <w:r w:rsidR="00C34B91">
              <w:rPr>
                <w:rFonts w:ascii="Arial Narrow" w:eastAsia="Arial Narrow" w:hAnsi="Arial Narrow" w:cs="Arial Narrow"/>
                <w:color w:val="000000"/>
              </w:rPr>
              <w:t xml:space="preserve"> delle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Stazioni Sperimentali per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l’ Industria</w:t>
            </w:r>
            <w:proofErr w:type="gramEnd"/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d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Capacità e competenze tecniche</w:t>
            </w:r>
          </w:p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1002BB" w:rsidP="003C1E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Maturate in ambienti di laboratori tecnologici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>/merceologici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e chimico-analitic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 xml:space="preserve">i (strumentazioni diagnostiche </w:t>
            </w:r>
            <w:r>
              <w:rPr>
                <w:rFonts w:ascii="Arial Narrow" w:eastAsia="Arial Narrow" w:hAnsi="Arial Narrow" w:cs="Arial Narrow"/>
                <w:color w:val="000000"/>
              </w:rPr>
              <w:t>basate su tecniche strumentali cromatografiche e spettroscopiche)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e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Capacità e competenze artistiche</w:t>
            </w:r>
          </w:p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100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Non particolari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Altre capacità e competenze</w:t>
            </w:r>
          </w:p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100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1002BB">
              <w:rPr>
                <w:rFonts w:ascii="Arial Narrow" w:eastAsia="Arial Narrow" w:hAnsi="Arial Narrow" w:cs="Arial Narrow"/>
                <w:color w:val="000000"/>
              </w:rPr>
              <w:t>Maturate in ambienti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sportivi: nuoto, canoa, nautica </w:t>
            </w:r>
            <w:r w:rsidR="003C1EA7">
              <w:rPr>
                <w:rFonts w:ascii="Arial Narrow" w:eastAsia="Arial Narrow" w:hAnsi="Arial Narrow" w:cs="Arial Narrow"/>
                <w:color w:val="000000"/>
              </w:rPr>
              <w:t>da diporto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0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Pr="00842312" w:rsidRDefault="00100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Auto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f1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Ulteriori informazioni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BB" w:rsidRDefault="001002BB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Resoconto Indicativo delle Attività scientifiche.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Per quanto concerne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l’ attività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tecnico-scientifica, si riassume nel seguito la rendicontazione numerica dell’ attività complessivamente svolta: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202 pubblicazioni su riviste e atti di Congressi, di cui 7 libri ed 1CD-ROM.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10 progetti di ricerca</w:t>
            </w:r>
          </w:p>
          <w:p w:rsidR="00842312" w:rsidRPr="00842312" w:rsidRDefault="003C1EA7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54</w:t>
            </w:r>
            <w:r w:rsidR="00842312" w:rsidRPr="00842312">
              <w:rPr>
                <w:rFonts w:ascii="Arial Narrow" w:eastAsia="Arial Narrow" w:hAnsi="Arial Narrow" w:cs="Arial Narrow"/>
                <w:color w:val="000000"/>
              </w:rPr>
              <w:t xml:space="preserve"> corsi di insegnamento annuali universitari istituzionali (un. Basilicata, Napoli Federico II, Seconda Università di Napoli (“Napoli 2”) e Teramo)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3 corsi a Master universitari (un. Basilicata)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4 corsi per tecnici, operatori di settore e tecnologi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dell’ area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“Pelle”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numerosi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seminari e corsi di dottorato in Chimica, Ingegneria Chimica e Tecnologie Alimentari presso Università nazionali.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9 corsi-seminari annuali sulla “Sicurezza” presso la Scuola Superiore della Pubblica Amministrazione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1 attività in sede di Commissione Internazionale (Analisi Chimica dei Cuoi)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3C1E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I lavori su periodici risultano distribuiti sulle seguenti riviste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nazionali  ed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internazionali, di cui si specifica quelle a comitato di redazione a diffusione nazionale e comunque  dotate di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referee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scientifici (CRN) e quelle regolarmente recensite dal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Chemical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Abstract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 (CA) o dal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Pollution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Abstract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(PA): 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Atomic Spectroscopy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Bubalus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 xml:space="preserve">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bubalis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 xml:space="preserve">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ChimicaOggi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CRN,CA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Cultura e Scuola, Rivista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dell’ Istituto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dell’ Enciclopedia Italiana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Cuoio, Pelli e Materie Concianti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De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qualitate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Food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Hydrocolloyds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Industrie Alimentari (CRN, 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Industrie delle Bevande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Industria Conserve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Journal of Chromatography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Journal Soc. Leather Tech. Chem.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Int. J. Applied Systemic Studies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La Chimica e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l' Industria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Nuova Secondaria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Pitture e Vernici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Qualità, Rivista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dell’ Associazione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Italiana Cultura Qualità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Rassegna Chimica e Merceologica (CRN, CA).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Rivista della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Soc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Ital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. Sci.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Alim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>. (CRN, CA).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Rivista delle Conserve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Rivista Italiana delle Sostanze Grasse (CA)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Rivista di Merceologia (CRN, 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Scienza e Tecnica Lattiero-Casearia (CRN, CA)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Tecnica Molitoria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World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Leather</w:t>
            </w:r>
            <w:proofErr w:type="spellEnd"/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Economia e Politica Industriale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Journal of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Regional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Policy, ed.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intern.le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di Mezzogiorno d’ Europa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L’ industria, Rivista di Economia e Politica Industriale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Nord e Sud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Rassegna Economica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Rivista di Economia delle Fonti di Energia e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dell’ Ambiente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, Un.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Comm.le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 xml:space="preserve"> Bocconi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  <w:lang w:val="en-GB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 xml:space="preserve">Journal of Environmental Science and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>Healt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  <w:lang w:val="en-GB"/>
              </w:rPr>
              <w:t xml:space="preserve"> (CA, PA) 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Residui Solidi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Rivista di Ingegneria Ambientale (CRN)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Le pubblicazioni prodotte (elenco allegato) possono essere suddivise nelle seguenti aree settoriali, di cui si specificano i corrispondenti numeri dei lavori: 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A) analisi chimica applicata, 26 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B) tecnologia (processi), 23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C) tecnologia (materiali), 61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D) didattica, 16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E) qualità e problematiche merceologiche e gestionali, 43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F) economia, 8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G) tecnologia (inquinamento e depurazione), 12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>H) Rubrica “Osservatorio”, 15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tenendo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presente che l’ aspetto analitico, tecnologico dei materiali e merceologico ne sono gli assi portanti.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Le ultime attività convergono su lavori di definizione di un Sistema Gestionale di “Buona Prassi Tecnologica” applicativo al trasferimento strutturato di modelli scientifico-disciplinari alle tecnologie chimiche applicate ai materiali organici, agroindustriali, agroalimentari, ambientali, farmaceutici e biotecnologici, cui si riferisce </w:t>
            </w:r>
            <w:proofErr w:type="spellStart"/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l’ argomento</w:t>
            </w:r>
            <w:proofErr w:type="spellEnd"/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del seminario (area tecnico-gestionale, o di gestione della conoscenza tecnica nell’ ambito dei metodi dei “Sistemi Gestionali”). L’ approccio è basato sull’ impiego di tre strumenti di formalizzazione: i “sistemi” (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l’ interazione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processo/prodotto), i “grafi” (l’ articolazione delle strutture) e le “matrici” (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l’ organizzazione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dei dati).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Negli ultimi anni ha preso corso il disegno di riconsiderare le Tecnologie dei prodotti delle agroindustrie nell’ ottica scientifico-tecnica più organica della “Scienza dei Materiali”, focalizzandone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l’ approccio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sulle proprietà intrinseche e caratteristiche della loro comune matrice, che è quella cioè di materia “organica” o più esattamente “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bio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-organica”. </w:t>
            </w:r>
          </w:p>
          <w:p w:rsidR="00842312" w:rsidRP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Tale sforzo ha comportato prima la definizione dei concetti base di “strutture unitarie” e “proprietà unitarie”, nella stessa filosofia di ordinamento delle “operazioni unitarie” dei processi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dell’ Ingegneria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Chimica, quali strumenti concettuali di riunificazione delle “diversità” dei vari casi nell’ “unitarietà” della descrizione tecnologica di tale categoria di produzioni. </w:t>
            </w:r>
          </w:p>
          <w:p w:rsidR="00842312" w:rsidRDefault="00842312" w:rsidP="00842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Una volta definito organicamente il quadro scientifico-tecnico delle leggi di comportamento di questi materiali e prodotti, si sono anche applicate le procedure dei “Sistemi Gestionali di Assicurazione della Qualità” finalizzandole alla “qualità” stessa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dell’ applicazione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di questi “principi” e “metodi”. Cioè si è cercata </w:t>
            </w:r>
            <w:proofErr w:type="gramStart"/>
            <w:r w:rsidRPr="00842312">
              <w:rPr>
                <w:rFonts w:ascii="Arial Narrow" w:eastAsia="Arial Narrow" w:hAnsi="Arial Narrow" w:cs="Arial Narrow"/>
                <w:color w:val="000000"/>
              </w:rPr>
              <w:t>l’ opportunità</w:t>
            </w:r>
            <w:proofErr w:type="gram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per l' estensione, in un' ottica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product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oriented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, dei principi delle conoscenze disciplinari di base dei materiali, prodotti e processi agroindustriali alle loro proprietà tecnologiche di interesse applicativo. Si è così cercato di definire un vero e proprio impianto operativo gestionale, costruito su un modello PDCA, completato dalla sua integrazione con gli strumenti del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problem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842312">
              <w:rPr>
                <w:rFonts w:ascii="Arial Narrow" w:eastAsia="Arial Narrow" w:hAnsi="Arial Narrow" w:cs="Arial Narrow"/>
                <w:color w:val="000000"/>
              </w:rPr>
              <w:t>solving</w:t>
            </w:r>
            <w:proofErr w:type="spellEnd"/>
            <w:r w:rsidRPr="00842312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2"/>
        <w:tblW w:w="10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D026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8F194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026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69" w:rsidRDefault="00D65A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N.N.</w:t>
            </w:r>
          </w:p>
        </w:tc>
      </w:tr>
    </w:tbl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D02669" w:rsidRDefault="00D0266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bookmarkStart w:id="0" w:name="_GoBack"/>
      <w:bookmarkEnd w:id="0"/>
    </w:p>
    <w:p w:rsidR="00D02669" w:rsidRDefault="008F194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Autorizzo il trattamento dei miei dati personali ai sensi del D.lgs. 196 del 30 giugno 2003.</w:t>
      </w:r>
    </w:p>
    <w:p w:rsidR="00D02669" w:rsidRDefault="001E6F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1E6F71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117475</wp:posOffset>
                </wp:positionV>
                <wp:extent cx="5000625" cy="923925"/>
                <wp:effectExtent l="0" t="0" r="9525" b="9525"/>
                <wp:wrapTight wrapText="bothSides">
                  <wp:wrapPolygon edited="0">
                    <wp:start x="0" y="0"/>
                    <wp:lineTo x="0" y="21377"/>
                    <wp:lineTo x="21559" y="21377"/>
                    <wp:lineTo x="21559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71" w:rsidRDefault="001E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95pt;margin-top:9.25pt;width:393.75pt;height:7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" stroked="f">
                <v:textbox>
                  <w:txbxContent>
                    <w:p w:rsidR="001E6F71" w:rsidRDefault="001E6F71"/>
                  </w:txbxContent>
                </v:textbox>
                <w10:wrap type="tight"/>
              </v:shape>
            </w:pict>
          </mc:Fallback>
        </mc:AlternateContent>
      </w:r>
      <w:r w:rsidR="00925994" w:rsidRPr="00925994">
        <w:rPr>
          <w:rFonts w:ascii="Arial Narrow" w:eastAsia="Arial Narrow" w:hAnsi="Arial Narrow" w:cs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98425</wp:posOffset>
            </wp:positionV>
            <wp:extent cx="2032635" cy="1000125"/>
            <wp:effectExtent l="0" t="0" r="571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994" w:rsidRDefault="00925994">
      <w:pPr>
        <w:pBdr>
          <w:top w:val="nil"/>
          <w:left w:val="nil"/>
          <w:bottom w:val="nil"/>
          <w:right w:val="nil"/>
          <w:between w:val="nil"/>
        </w:pBdr>
        <w:ind w:right="-1089"/>
        <w:rPr>
          <w:rFonts w:ascii="Arial Narrow" w:eastAsia="Arial Narrow" w:hAnsi="Arial Narrow" w:cs="Arial Narrow"/>
        </w:rPr>
      </w:pPr>
    </w:p>
    <w:p w:rsidR="00925994" w:rsidRDefault="00925994">
      <w:pPr>
        <w:pBdr>
          <w:top w:val="nil"/>
          <w:left w:val="nil"/>
          <w:bottom w:val="nil"/>
          <w:right w:val="nil"/>
          <w:between w:val="nil"/>
        </w:pBdr>
        <w:ind w:right="-1089"/>
        <w:rPr>
          <w:rFonts w:ascii="Arial Narrow" w:eastAsia="Arial Narrow" w:hAnsi="Arial Narrow" w:cs="Arial Narrow"/>
        </w:rPr>
      </w:pPr>
    </w:p>
    <w:p w:rsidR="00925994" w:rsidRDefault="00925994">
      <w:pPr>
        <w:pBdr>
          <w:top w:val="nil"/>
          <w:left w:val="nil"/>
          <w:bottom w:val="nil"/>
          <w:right w:val="nil"/>
          <w:between w:val="nil"/>
        </w:pBdr>
        <w:ind w:right="-1089"/>
        <w:rPr>
          <w:rFonts w:ascii="Arial Narrow" w:eastAsia="Arial Narrow" w:hAnsi="Arial Narrow" w:cs="Arial Narrow"/>
        </w:rPr>
      </w:pPr>
    </w:p>
    <w:p w:rsidR="00D02669" w:rsidRDefault="001E6F71">
      <w:pPr>
        <w:pBdr>
          <w:top w:val="nil"/>
          <w:left w:val="nil"/>
          <w:bottom w:val="nil"/>
          <w:right w:val="nil"/>
          <w:between w:val="nil"/>
        </w:pBdr>
        <w:ind w:right="-108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</w:t>
      </w:r>
      <w:r w:rsidR="008F194D">
        <w:rPr>
          <w:rFonts w:ascii="Arial Narrow" w:eastAsia="Arial Narrow" w:hAnsi="Arial Narrow" w:cs="Arial Narrow"/>
        </w:rPr>
        <w:t xml:space="preserve">_________________________                                     </w:t>
      </w:r>
    </w:p>
    <w:p w:rsidR="00D02669" w:rsidRDefault="00D026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sectPr w:rsidR="00D02669">
      <w:footerReference w:type="default" r:id="rId9"/>
      <w:pgSz w:w="11907" w:h="16840"/>
      <w:pgMar w:top="851" w:right="1797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28" w:rsidRDefault="00117F28">
      <w:r>
        <w:separator/>
      </w:r>
    </w:p>
  </w:endnote>
  <w:endnote w:type="continuationSeparator" w:id="0">
    <w:p w:rsidR="00117F28" w:rsidRDefault="0011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69" w:rsidRDefault="00D0266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tbl>
    <w:tblPr>
      <w:tblStyle w:val="af3"/>
      <w:tblW w:w="1045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944"/>
      <w:gridCol w:w="283"/>
      <w:gridCol w:w="7229"/>
    </w:tblGrid>
    <w:tr w:rsidR="00D02669">
      <w:tc>
        <w:tcPr>
          <w:tcW w:w="29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02669" w:rsidRDefault="008F194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1E6F71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5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D02669" w:rsidRDefault="00D65A8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Grasso Gianni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02669" w:rsidRDefault="00D0266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</w:p>
      </w:tc>
      <w:tc>
        <w:tcPr>
          <w:tcW w:w="72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02669" w:rsidRDefault="00D0266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</w:p>
        <w:p w:rsidR="00D02669" w:rsidRDefault="00D0266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</w:p>
        <w:p w:rsidR="00D02669" w:rsidRDefault="00D0266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</w:p>
      </w:tc>
    </w:tr>
  </w:tbl>
  <w:p w:rsidR="00D02669" w:rsidRDefault="008F194D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28" w:rsidRDefault="00117F28">
      <w:r>
        <w:separator/>
      </w:r>
    </w:p>
  </w:footnote>
  <w:footnote w:type="continuationSeparator" w:id="0">
    <w:p w:rsidR="00117F28" w:rsidRDefault="0011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F3F"/>
    <w:multiLevelType w:val="hybridMultilevel"/>
    <w:tmpl w:val="CF28B5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2D21"/>
    <w:multiLevelType w:val="hybridMultilevel"/>
    <w:tmpl w:val="EEA863B0"/>
    <w:lvl w:ilvl="0" w:tplc="C5028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9"/>
    <w:rsid w:val="001002BB"/>
    <w:rsid w:val="00102C6F"/>
    <w:rsid w:val="00117F28"/>
    <w:rsid w:val="00153836"/>
    <w:rsid w:val="001E6F71"/>
    <w:rsid w:val="0020738D"/>
    <w:rsid w:val="003C1EA7"/>
    <w:rsid w:val="0046696F"/>
    <w:rsid w:val="00475FAD"/>
    <w:rsid w:val="00561A97"/>
    <w:rsid w:val="005905B5"/>
    <w:rsid w:val="005C6391"/>
    <w:rsid w:val="00667657"/>
    <w:rsid w:val="00735391"/>
    <w:rsid w:val="00810F21"/>
    <w:rsid w:val="00842312"/>
    <w:rsid w:val="008F194D"/>
    <w:rsid w:val="00925994"/>
    <w:rsid w:val="0097356C"/>
    <w:rsid w:val="00B12C4E"/>
    <w:rsid w:val="00BA4576"/>
    <w:rsid w:val="00C24F14"/>
    <w:rsid w:val="00C34B91"/>
    <w:rsid w:val="00CF5FB5"/>
    <w:rsid w:val="00D02669"/>
    <w:rsid w:val="00D65A8F"/>
    <w:rsid w:val="00D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7F847-36D2-4365-BE3F-A793FF2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6676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5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A8F"/>
  </w:style>
  <w:style w:type="paragraph" w:styleId="Pidipagina">
    <w:name w:val="footer"/>
    <w:basedOn w:val="Normale"/>
    <w:link w:val="PidipaginaCarattere"/>
    <w:uiPriority w:val="99"/>
    <w:unhideWhenUsed/>
    <w:rsid w:val="00D65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Gianni1</dc:creator>
  <cp:lastModifiedBy>Gianni1</cp:lastModifiedBy>
  <cp:revision>9</cp:revision>
  <dcterms:created xsi:type="dcterms:W3CDTF">2023-07-05T08:35:00Z</dcterms:created>
  <dcterms:modified xsi:type="dcterms:W3CDTF">2023-07-15T17:15:00Z</dcterms:modified>
</cp:coreProperties>
</file>